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141</w:t>
      </w:r>
    </w:p>
    <w:p>
      <w:r>
        <w:t>Bundesgericht (BGE), 1966-02-04, IT</w:t>
      </w:r>
    </w:p>
    <w:p>
      <w:r>
        <w:rPr>
          <w:b/>
        </w:rPr>
        <w:t xml:space="preserve">Quelle: </w:t>
      </w:r>
      <w:r>
        <w:t>https://mcp.opencaselaw.ch/entscheid/bge_92 I 141</w:t>
      </w:r>
    </w:p>
    <w:p>
      <w:r>
        <w:t>FR: ATF 92 I 141</w:t>
      </w:r>
    </w:p>
    <w:p>
      <w:r>
        <w:t>IT: DTF 92 I 141</w:t>
      </w:r>
    </w:p>
    <w:p>
      <w:pPr>
        <w:pStyle w:val="Heading2"/>
      </w:pPr>
      <w:r>
        <w:t>Regeste</w:t>
      </w:r>
    </w:p>
    <w:p>
      <w:r>
        <w:t>Regeste 1. Die Art. 99 Ziff. VIII OG vorgesehene Verwaltungsgerichtsbeschwerde ist auch zulässig gegen einen Entscheid, mit dem mehrere Ordnungsbussen ausgefällt werden, welche einzeln weniger als Fr. 100 betragen, aber zusammen diesen Betrag übersteigen. 2. Ordnungsverletzungen im Sinne der Art. 104 ff. ZG sind auch dann nach diesen Bestimmungen strafbar, wenn der gleiche Tatbestand Gegenstand eines Strafverfahrens wegen Widerhandlung gegen das Uhrenstatut ist.</w:t>
      </w:r>
    </w:p>
    <w:p>
      <w:pPr>
        <w:pStyle w:val="Heading2"/>
      </w:pPr>
      <w:r>
        <w:t>Volltext</w:t>
      </w:r>
    </w:p>
    <w:p>
      <w:r>
        <w:t>Urteilskopf 92 I 141 24. Estratto della sentenza 4 febbraio 1966 su ricorso Cardana contro Direzione generale delle dogane Regeste 1. Die Art. 99 Ziff. VIII OG vorgesehene Verwaltungsgerichtsbeschwerde ist auch zulässig gegen einen Entscheid, mit dem mehrere Ordnungsbussen ausgefällt werden, welche einzeln weniger als Fr. 100 betragen, aber zusammen diesen Betrag übersteigen. 2. Ordnungsverletzungen im Sinne der Art. 104 ff. ZG sind auch dann nach diesen Bestimmungen strafbar, wenn der gleiche Tatbestand Gegenstand eines Strafverfahrens wegen Widerhandlung gegen das Uhrenstatut ist. Erwägungen ab Seite 141 BGE 92 I 141 S. 141 1. Secondo l'art. 99 num. VIII OG, il ricorso di diritto amministrativo è ammissibile contro le decisioni della Direzione generale delle dogane concernenti le pene per reati doganali e le ammende disciplinari di ammontare superiore a Fr. 100.--. In concreto, questo ammontare è superato solo dalle due multe di Fr. 200.-- concernenti le elusioni del controllo di esportazione, commesse il 9 ottobre 1963 e il 17 febbraio 1964. La giurisprudenza ha però stabilito la regola che, comunque, quando diverse ammende sono state inflitte con una decisione unica, per contravvenzioni a norme d'ordine della medesima natura, le stesse devono essere sommate, per stabilire se BGE 92 I 141 S. 142 l'ammontare di Fr. 100.-- indicato all'art. 99 num. VIII OG, è superato (sentenza inedita 2 ottobre 1956 su ricorso Cadoppi). Le tre ammende inflitte a Cardana per omissione di presentazione della merce al controllo d'esportazione sono fondate sulle stesse norme, e cioè sugli art. 6, 30, 104/106 LD e 1 e 14 OSt. Ne consegue che il ricorso di diritto amministrativo è ricevibile, non solo per le prime due ammende di Fr. 200.-- ciascuna, ma, dovendosi trattare congiuntamente anche la terza, anche per questa, benchè ammonti a solo Fr. 40.-. Le tre ammende di Fr. 20.- ciascuna, concernenti la contraffazione della dichiarazione di grossista, sono fondate sugli art. 14 e 48 lett. h DCA, nonchè sugli art. 59 e 104 /106 LD, e sono quindi di natura diversa delle prime tre. Inoltre, anche sommate, non superano l'ammontare di Fr. 100.--. Tuttavia, come fatto rilevare in occasione dello scambio di opinioni effettuato con il Dipartimento federale delle finanze e dogane, previamente al giudizio sul caso Cadoppi, l'art. 99 num. VIII OG tien conto dell'interesse pecuniario del contravventore all'annullamento della decisione controversa, indipendentemente dal fatto che detta decisione concerna una o più ammende, analogamente a quanto disposto all' art. 47 OG per il ricorso per riforma. Questa soluzione è giustificata anche per motivi di economia procedurale: sarebbe manifestamente inopportuno esigere che qualora, come in concreto, la decisione della Direzione generale delle dogane concerna più ammende, di cui solo alcune superano singolarmente l'ammontare di Fr. 100.--, il contravventore debba interporre due ricorsi, l'uno al Tribunale federale e l'altro al Dipartimento federale delle finanze e dogane. Il ricorso è pertanto ricevibile anche agli effetti delle tre ammende di Fr. 20.- per contraffazione della dichiarazione di grossista. 2. a) ..... b) Giusta la competenza conferitagli all'art. 7 cpv. 1 del DF 23 giugno 1961 concernente l'industria orologiera (statuto dell'orologeria), il Consiglio federale, con l'art. 1 della relativa ordinanza d'esecuzione II, ha subordinato l'esportazione e la vendita di orologi e di determinate parti d'orologeria, nonchè di altri elementi destinati alla produzione dei medesimi, a un permesso che è rilasciato dalla Camera svizzera dell'orologeria (art. 2). Ricadono sotto queste disposizioni anche le pietre BGE 92 I 141 S. 143 di orologeria grezze o tagliate, ad eccezione delle palette di levata e delle ellissi (art. 1 cpv. 1 lett. f), e quindi anche una parte delle merci spedite in Italia dal ricorrente. L'infrazione a queste disposizioni è punibile con una multa fino a Fr. 50 000.-- (art. 24 cpv. 3 statuto dell'orologeria) e il suo perseguimento penale incombe ai cantoni (art. 27). Nella fattispecie, l'amministrazione doganale ha trasmesso la pratica al Dipartimento federale dell'economia pubblica, Sezione orologiera, per il promovimento dell'azione penale presso il giudice cantonale competente. La Direzione generale delle dogane, nelle sue osservazioni di risposta, ha posto la questione di sapere, se il perseguimento penale suindicato non assorbisca anche il perseguimento delle trasgressioni alle misure d'ordine represse agli art. 104/108 LD. L'opinione espressa dalla Direzione succitata, nel senso che queste trasgressioni non sono assorbite dal l'infrazione che Cardana può aver commesso allo statuto dell'orologeria, deve essere condivisa. Il bene giuridico che il ricorrente può aver leso, esportando parti di orologeria senza il prescritto permesso, è quelle della tutela della "politica tradizionale di esportazione orologiera" (art. 7 cpv. 1 statuto dell'orologeria), che non assorbe lo scopo del controllo amministrativo delle operazioni doganali, istituito in genere a difesa di interessi fiscali e statistici. Ciò stante, il perseguimento penale di un'infrazione allo statuto dell'orologeria non esclude l'irrogazione di una ammenda per trasgressione alle misure d'ordine nel senso degli art. 104/108 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